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C5" w:rsidRDefault="00662AC5" w:rsidP="00662AC5">
      <w:pPr>
        <w:spacing w:line="360" w:lineRule="auto"/>
        <w:ind w:right="210"/>
        <w:jc w:val="right"/>
        <w:rPr>
          <w:rFonts w:ascii="仿宋_GB2312" w:eastAsia="仿宋_GB2312" w:hAnsi="Calibri" w:cs="仿宋_GB2312" w:hint="eastAsia"/>
          <w:sz w:val="30"/>
          <w:szCs w:val="30"/>
        </w:rPr>
      </w:pPr>
    </w:p>
    <w:p w:rsidR="00662AC5" w:rsidRDefault="00662AC5" w:rsidP="00662AC5">
      <w:pPr>
        <w:spacing w:line="360" w:lineRule="auto"/>
        <w:ind w:right="210"/>
        <w:jc w:val="right"/>
        <w:rPr>
          <w:rFonts w:ascii="仿宋_GB2312" w:eastAsia="仿宋_GB2312" w:hAnsi="Calibri" w:cs="仿宋_GB2312"/>
          <w:sz w:val="30"/>
          <w:szCs w:val="30"/>
        </w:rPr>
      </w:pPr>
    </w:p>
    <w:p w:rsidR="00662AC5" w:rsidRDefault="00662AC5" w:rsidP="00662AC5">
      <w:pPr>
        <w:spacing w:line="360" w:lineRule="auto"/>
        <w:ind w:right="210"/>
        <w:jc w:val="right"/>
        <w:rPr>
          <w:rFonts w:ascii="宋体" w:eastAsia="宋体" w:hAnsi="宋体"/>
          <w:b/>
          <w:bCs/>
          <w:color w:val="000000"/>
          <w:spacing w:val="-15"/>
          <w:sz w:val="36"/>
          <w:szCs w:val="36"/>
          <w:shd w:val="clear" w:color="auto" w:fill="FFFFFF"/>
        </w:rPr>
      </w:pPr>
      <w:proofErr w:type="gramStart"/>
      <w:r w:rsidRPr="007F4543">
        <w:rPr>
          <w:rFonts w:ascii="仿宋_GB2312" w:eastAsia="仿宋_GB2312" w:hAnsi="Calibri" w:cs="仿宋_GB2312" w:hint="eastAsia"/>
          <w:sz w:val="30"/>
          <w:szCs w:val="30"/>
        </w:rPr>
        <w:t>中畜协函</w:t>
      </w:r>
      <w:proofErr w:type="gramEnd"/>
      <w:r w:rsidRPr="007F4543">
        <w:rPr>
          <w:rFonts w:ascii="仿宋_GB2312" w:eastAsia="仿宋_GB2312" w:hAnsi="Calibri" w:cs="仿宋_GB2312" w:hint="eastAsia"/>
          <w:sz w:val="30"/>
          <w:szCs w:val="30"/>
        </w:rPr>
        <w:t>〔202</w:t>
      </w:r>
      <w:r>
        <w:rPr>
          <w:rFonts w:ascii="仿宋_GB2312" w:eastAsia="仿宋_GB2312" w:hAnsi="Calibri" w:cs="仿宋_GB2312" w:hint="eastAsia"/>
          <w:sz w:val="30"/>
          <w:szCs w:val="30"/>
        </w:rPr>
        <w:t>1</w:t>
      </w:r>
      <w:r w:rsidRPr="007F4543">
        <w:rPr>
          <w:rFonts w:ascii="仿宋_GB2312" w:eastAsia="仿宋_GB2312" w:hAnsi="Calibri" w:cs="仿宋_GB2312" w:hint="eastAsia"/>
          <w:sz w:val="30"/>
          <w:szCs w:val="30"/>
        </w:rPr>
        <w:t>〕</w:t>
      </w:r>
      <w:r>
        <w:rPr>
          <w:rFonts w:ascii="仿宋_GB2312" w:eastAsia="仿宋_GB2312" w:hAnsi="Calibri" w:cs="仿宋_GB2312" w:hint="eastAsia"/>
          <w:sz w:val="30"/>
          <w:szCs w:val="30"/>
        </w:rPr>
        <w:t>39号</w:t>
      </w:r>
    </w:p>
    <w:p w:rsidR="00662AC5" w:rsidRDefault="00841D38" w:rsidP="00662AC5">
      <w:pPr>
        <w:spacing w:beforeLines="50" w:before="156" w:line="360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关于举办</w:t>
      </w:r>
      <w:r w:rsidR="00662AC5" w:rsidRPr="003A296C">
        <w:rPr>
          <w:rFonts w:ascii="华文中宋" w:eastAsia="华文中宋" w:hAnsi="华文中宋" w:cs="Times New Roman" w:hint="eastAsia"/>
          <w:b/>
          <w:sz w:val="36"/>
          <w:szCs w:val="36"/>
        </w:rPr>
        <w:t>生猪期货与饲料原料衍生品风险管理培训</w:t>
      </w:r>
      <w:r w:rsidR="00662AC5" w:rsidRPr="00321545">
        <w:rPr>
          <w:rFonts w:ascii="华文中宋" w:eastAsia="华文中宋" w:hAnsi="华文中宋" w:cs="Times New Roman" w:hint="eastAsia"/>
          <w:b/>
          <w:sz w:val="36"/>
          <w:szCs w:val="36"/>
        </w:rPr>
        <w:t>的通知</w:t>
      </w:r>
    </w:p>
    <w:p w:rsidR="00662AC5" w:rsidRPr="00321545" w:rsidRDefault="00662AC5" w:rsidP="002911C3">
      <w:pPr>
        <w:spacing w:beforeLines="50" w:before="156" w:line="560" w:lineRule="exact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各位会员、有关单位与相关行业从业者：</w:t>
      </w:r>
    </w:p>
    <w:p w:rsidR="00662AC5" w:rsidRDefault="00662AC5" w:rsidP="002911C3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生猪期货</w:t>
      </w:r>
      <w:r w:rsidRPr="00643EE7">
        <w:rPr>
          <w:rFonts w:ascii="仿宋_GB2312" w:eastAsia="仿宋_GB2312" w:hAnsi="仿宋" w:hint="eastAsia"/>
          <w:sz w:val="30"/>
          <w:szCs w:val="30"/>
        </w:rPr>
        <w:t>于</w:t>
      </w:r>
      <w:r w:rsidRPr="00643EE7">
        <w:rPr>
          <w:rFonts w:ascii="仿宋_GB2312" w:eastAsia="仿宋_GB2312" w:hAnsi="仿宋"/>
          <w:sz w:val="30"/>
          <w:szCs w:val="30"/>
        </w:rPr>
        <w:t>2021年1月8日在大连商品交易所正式挂牌</w:t>
      </w:r>
      <w:r>
        <w:rPr>
          <w:rFonts w:ascii="仿宋_GB2312" w:eastAsia="仿宋_GB2312" w:hAnsi="仿宋" w:hint="eastAsia"/>
          <w:sz w:val="30"/>
          <w:szCs w:val="30"/>
        </w:rPr>
        <w:t>已四月</w:t>
      </w:r>
      <w:r w:rsidRPr="00643EE7">
        <w:rPr>
          <w:rFonts w:ascii="仿宋_GB2312" w:eastAsia="仿宋_GB2312" w:hAnsi="仿宋"/>
          <w:sz w:val="30"/>
          <w:szCs w:val="30"/>
        </w:rPr>
        <w:t>。</w:t>
      </w:r>
      <w:r>
        <w:rPr>
          <w:rFonts w:ascii="仿宋_GB2312" w:eastAsia="仿宋_GB2312" w:hAnsi="仿宋" w:hint="eastAsia"/>
          <w:sz w:val="30"/>
          <w:szCs w:val="30"/>
        </w:rPr>
        <w:t>多家大型生猪养殖和屠宰企业已入场，还有部分企业仍在观望中。在这场零和博弈中，有的企业已成功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期转现完成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交割，还有一些企业却面临巨额亏损。目前，受生猪和饲料现货价格影响，生猪期货价格总体呈下跌走势，而玉米、豆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粕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等饲料原料期货呈</w:t>
      </w:r>
      <w:r w:rsidRPr="00875912">
        <w:rPr>
          <w:rFonts w:ascii="仿宋_GB2312" w:eastAsia="仿宋_GB2312" w:hAnsi="仿宋" w:hint="eastAsia"/>
          <w:sz w:val="30"/>
          <w:szCs w:val="30"/>
        </w:rPr>
        <w:t>高位震荡</w:t>
      </w:r>
      <w:r>
        <w:rPr>
          <w:rFonts w:ascii="仿宋_GB2312" w:eastAsia="仿宋_GB2312" w:hAnsi="仿宋" w:hint="eastAsia"/>
          <w:sz w:val="30"/>
          <w:szCs w:val="30"/>
        </w:rPr>
        <w:t>趋势。如何有效利用期货手段实现套期保值，规避原材料上</w:t>
      </w:r>
      <w:r w:rsidR="00A24514">
        <w:rPr>
          <w:rFonts w:ascii="仿宋_GB2312" w:eastAsia="仿宋_GB2312" w:hAnsi="仿宋" w:hint="eastAsia"/>
          <w:sz w:val="30"/>
          <w:szCs w:val="30"/>
        </w:rPr>
        <w:t>涨</w:t>
      </w:r>
      <w:r>
        <w:rPr>
          <w:rFonts w:ascii="仿宋_GB2312" w:eastAsia="仿宋_GB2312" w:hAnsi="仿宋" w:hint="eastAsia"/>
          <w:sz w:val="30"/>
          <w:szCs w:val="30"/>
        </w:rPr>
        <w:t>和生猪价格大幅波动风险，控制收猪采购成本，稳定收益成为摆在生猪养殖企业和屠宰贸易企业决策层</w:t>
      </w:r>
      <w:r w:rsidR="00A1171E">
        <w:rPr>
          <w:rFonts w:ascii="仿宋_GB2312" w:eastAsia="仿宋_GB2312" w:hAnsi="仿宋" w:hint="eastAsia"/>
          <w:sz w:val="30"/>
          <w:szCs w:val="30"/>
        </w:rPr>
        <w:t>面前</w:t>
      </w:r>
      <w:r>
        <w:rPr>
          <w:rFonts w:ascii="仿宋_GB2312" w:eastAsia="仿宋_GB2312" w:hAnsi="仿宋" w:hint="eastAsia"/>
          <w:sz w:val="30"/>
          <w:szCs w:val="30"/>
        </w:rPr>
        <w:t>的现实考验。</w:t>
      </w:r>
      <w:r w:rsidRPr="00643EE7">
        <w:rPr>
          <w:rFonts w:ascii="仿宋_GB2312" w:eastAsia="仿宋_GB2312" w:hAnsi="仿宋"/>
          <w:sz w:val="30"/>
          <w:szCs w:val="30"/>
        </w:rPr>
        <w:t>为进一步提升会员</w:t>
      </w:r>
      <w:r>
        <w:rPr>
          <w:rFonts w:ascii="仿宋_GB2312" w:eastAsia="仿宋_GB2312" w:hAnsi="仿宋" w:hint="eastAsia"/>
          <w:sz w:val="30"/>
          <w:szCs w:val="30"/>
        </w:rPr>
        <w:t>企业</w:t>
      </w:r>
      <w:r w:rsidRPr="00643EE7">
        <w:rPr>
          <w:rFonts w:ascii="仿宋_GB2312" w:eastAsia="仿宋_GB2312" w:hAnsi="仿宋"/>
          <w:sz w:val="30"/>
          <w:szCs w:val="30"/>
        </w:rPr>
        <w:t>对生猪</w:t>
      </w:r>
      <w:r>
        <w:rPr>
          <w:rFonts w:ascii="仿宋_GB2312" w:eastAsia="仿宋_GB2312" w:hAnsi="仿宋" w:hint="eastAsia"/>
          <w:sz w:val="30"/>
          <w:szCs w:val="30"/>
        </w:rPr>
        <w:t>和饲料原料</w:t>
      </w:r>
      <w:r w:rsidRPr="00643EE7">
        <w:rPr>
          <w:rFonts w:ascii="仿宋_GB2312" w:eastAsia="仿宋_GB2312" w:hAnsi="仿宋"/>
          <w:sz w:val="30"/>
          <w:szCs w:val="30"/>
        </w:rPr>
        <w:t>期货的了解，充分应用现代金融工具推进生猪养殖行业持续健康稳定发展，</w:t>
      </w:r>
      <w:r>
        <w:rPr>
          <w:rFonts w:ascii="仿宋_GB2312" w:eastAsia="仿宋_GB2312" w:hAnsi="仿宋" w:hint="eastAsia"/>
          <w:sz w:val="30"/>
          <w:szCs w:val="30"/>
        </w:rPr>
        <w:t>中国畜牧业</w:t>
      </w:r>
      <w:r w:rsidRPr="00643EE7">
        <w:rPr>
          <w:rFonts w:ascii="仿宋_GB2312" w:eastAsia="仿宋_GB2312" w:hAnsi="仿宋"/>
          <w:sz w:val="30"/>
          <w:szCs w:val="30"/>
        </w:rPr>
        <w:t>协会联合</w:t>
      </w:r>
      <w:r w:rsidRPr="003A296C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南华期货股份有限公司</w:t>
      </w:r>
      <w:bookmarkStart w:id="0" w:name="_GoBack"/>
      <w:bookmarkEnd w:id="0"/>
      <w:r w:rsidRPr="00643EE7">
        <w:rPr>
          <w:rFonts w:ascii="仿宋_GB2312" w:eastAsia="仿宋_GB2312" w:hAnsi="仿宋"/>
          <w:sz w:val="30"/>
          <w:szCs w:val="30"/>
        </w:rPr>
        <w:t>拟定于</w:t>
      </w:r>
      <w:r>
        <w:rPr>
          <w:rFonts w:ascii="仿宋_GB2312" w:eastAsia="仿宋_GB2312" w:hAnsi="仿宋" w:hint="eastAsia"/>
          <w:sz w:val="30"/>
          <w:szCs w:val="30"/>
        </w:rPr>
        <w:t>5月28日在上海</w:t>
      </w:r>
      <w:r w:rsidRPr="00643EE7">
        <w:rPr>
          <w:rFonts w:ascii="仿宋_GB2312" w:eastAsia="仿宋_GB2312" w:hAnsi="仿宋"/>
          <w:sz w:val="30"/>
          <w:szCs w:val="30"/>
        </w:rPr>
        <w:t>举办</w:t>
      </w:r>
      <w:r>
        <w:rPr>
          <w:rFonts w:ascii="仿宋_GB2312" w:eastAsia="仿宋_GB2312" w:hAnsi="仿宋" w:hint="eastAsia"/>
          <w:sz w:val="30"/>
          <w:szCs w:val="30"/>
        </w:rPr>
        <w:t>“</w:t>
      </w:r>
      <w:r w:rsidRPr="00643EE7">
        <w:rPr>
          <w:rFonts w:ascii="仿宋_GB2312" w:eastAsia="仿宋_GB2312" w:hAnsi="仿宋" w:hint="eastAsia"/>
          <w:sz w:val="30"/>
          <w:szCs w:val="30"/>
        </w:rPr>
        <w:t>生猪期货与饲料原料衍生品风险管理培训</w:t>
      </w:r>
      <w:r>
        <w:rPr>
          <w:rFonts w:ascii="仿宋_GB2312" w:eastAsia="仿宋_GB2312" w:hAnsi="仿宋" w:hint="eastAsia"/>
          <w:sz w:val="30"/>
          <w:szCs w:val="30"/>
        </w:rPr>
        <w:t>”</w:t>
      </w:r>
      <w:r w:rsidRPr="00643EE7">
        <w:rPr>
          <w:rFonts w:ascii="仿宋_GB2312" w:eastAsia="仿宋_GB2312" w:hAnsi="仿宋"/>
          <w:sz w:val="30"/>
          <w:szCs w:val="30"/>
        </w:rPr>
        <w:t>，现将有关事项通知如下：</w:t>
      </w:r>
    </w:p>
    <w:p w:rsidR="00662AC5" w:rsidRDefault="00662AC5" w:rsidP="002911C3">
      <w:pPr>
        <w:spacing w:line="560" w:lineRule="exact"/>
        <w:ind w:firstLineChars="200" w:firstLine="602"/>
        <w:rPr>
          <w:rFonts w:ascii="仿宋_GB2312" w:eastAsia="仿宋_GB2312" w:hAnsi="仿宋" w:cs="仿宋_GB2312"/>
          <w:b/>
          <w:bCs/>
          <w:color w:val="000000"/>
          <w:sz w:val="30"/>
          <w:szCs w:val="30"/>
          <w:shd w:val="clear" w:color="auto" w:fill="FFFFFF"/>
        </w:rPr>
      </w:pPr>
      <w:r w:rsidRPr="00321545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一、</w:t>
      </w:r>
      <w:r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会议组织</w:t>
      </w:r>
    </w:p>
    <w:p w:rsidR="00662AC5" w:rsidRDefault="00662AC5" w:rsidP="002911C3">
      <w:pPr>
        <w:spacing w:line="560" w:lineRule="exact"/>
        <w:ind w:firstLineChars="399" w:firstLine="1202"/>
        <w:rPr>
          <w:rFonts w:ascii="仿宋_GB2312" w:eastAsia="仿宋_GB2312" w:hAnsi="仿宋" w:cs="仿宋_GB2312"/>
          <w:b/>
          <w:bCs/>
          <w:color w:val="000000"/>
          <w:sz w:val="30"/>
          <w:szCs w:val="30"/>
          <w:shd w:val="clear" w:color="auto" w:fill="FFFFFF"/>
        </w:rPr>
      </w:pPr>
      <w:r w:rsidRPr="00321545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主办单位：</w:t>
      </w:r>
      <w:r w:rsidRPr="003A296C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南华期货股份有限公司</w:t>
      </w:r>
    </w:p>
    <w:p w:rsidR="00662AC5" w:rsidRPr="003A296C" w:rsidRDefault="00662AC5" w:rsidP="002911C3">
      <w:pPr>
        <w:spacing w:line="560" w:lineRule="exact"/>
        <w:ind w:firstLineChars="900" w:firstLine="2700"/>
        <w:rPr>
          <w:rFonts w:ascii="仿宋_GB2312" w:eastAsia="仿宋_GB2312" w:hAnsi="仿宋" w:cs="仿宋_GB2312"/>
          <w:b/>
          <w:bCs/>
          <w:color w:val="000000"/>
          <w:sz w:val="30"/>
          <w:szCs w:val="30"/>
          <w:shd w:val="clear" w:color="auto" w:fill="FFFFFF"/>
        </w:rPr>
      </w:pPr>
      <w:r w:rsidRPr="00321545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中国畜牧业协会</w:t>
      </w:r>
    </w:p>
    <w:p w:rsidR="00662AC5" w:rsidRDefault="00662AC5" w:rsidP="002911C3">
      <w:pPr>
        <w:spacing w:line="560" w:lineRule="exact"/>
        <w:ind w:firstLineChars="399" w:firstLine="1202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支持</w:t>
      </w:r>
      <w:r w:rsidRPr="00321545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单位：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大连商品交易所</w:t>
      </w:r>
    </w:p>
    <w:p w:rsidR="00662AC5" w:rsidRDefault="00662AC5" w:rsidP="002911C3">
      <w:pPr>
        <w:spacing w:line="560" w:lineRule="exact"/>
        <w:ind w:firstLineChars="200" w:firstLine="602"/>
        <w:rPr>
          <w:rFonts w:ascii="仿宋_GB2312" w:eastAsia="仿宋_GB2312" w:hAnsi="仿宋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二</w:t>
      </w:r>
      <w:r w:rsidRPr="005E4EC0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、培训时间及地点：</w:t>
      </w:r>
    </w:p>
    <w:p w:rsidR="00662AC5" w:rsidRDefault="00662AC5" w:rsidP="002911C3">
      <w:pPr>
        <w:spacing w:line="560" w:lineRule="exact"/>
        <w:ind w:firstLineChars="200" w:firstLine="602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 xml:space="preserve">    时间：</w:t>
      </w:r>
      <w:r w:rsidRPr="005E4EC0">
        <w:rPr>
          <w:rFonts w:ascii="仿宋_GB2312" w:eastAsia="仿宋_GB2312" w:hAnsi="仿宋" w:hint="eastAsia"/>
          <w:color w:val="000000"/>
          <w:sz w:val="32"/>
          <w:szCs w:val="32"/>
        </w:rPr>
        <w:t>2021年5月28日（星期五）  13:00-17:20</w:t>
      </w:r>
    </w:p>
    <w:p w:rsidR="00662AC5" w:rsidRPr="005E4EC0" w:rsidRDefault="00662AC5" w:rsidP="00662AC5">
      <w:pPr>
        <w:spacing w:line="580" w:lineRule="exact"/>
        <w:ind w:firstLineChars="400" w:firstLine="1205"/>
        <w:rPr>
          <w:rFonts w:ascii="仿宋_GB2312" w:eastAsia="仿宋_GB2312" w:hAnsi="仿宋" w:cs="仿宋_GB2312"/>
          <w:b/>
          <w:bCs/>
          <w:color w:val="000000"/>
          <w:sz w:val="30"/>
          <w:szCs w:val="30"/>
          <w:shd w:val="clear" w:color="auto" w:fill="FFFFFF"/>
        </w:rPr>
      </w:pPr>
      <w:r w:rsidRPr="005E4EC0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地点：</w:t>
      </w:r>
      <w:r w:rsidRPr="005E4EC0">
        <w:rPr>
          <w:rFonts w:ascii="仿宋_GB2312" w:eastAsia="仿宋_GB2312" w:hAnsi="仿宋" w:cs="仿宋_GB2312" w:hint="eastAsia"/>
          <w:bCs/>
          <w:color w:val="000000"/>
          <w:sz w:val="30"/>
          <w:szCs w:val="30"/>
          <w:shd w:val="clear" w:color="auto" w:fill="FFFFFF"/>
        </w:rPr>
        <w:t>上海市徐汇区虹桥路</w:t>
      </w:r>
      <w:proofErr w:type="gramStart"/>
      <w:r w:rsidRPr="005E4EC0">
        <w:rPr>
          <w:rFonts w:ascii="仿宋_GB2312" w:eastAsia="仿宋_GB2312" w:hAnsi="仿宋" w:cs="仿宋_GB2312"/>
          <w:bCs/>
          <w:color w:val="000000"/>
          <w:sz w:val="30"/>
          <w:szCs w:val="30"/>
          <w:shd w:val="clear" w:color="auto" w:fill="FFFFFF"/>
        </w:rPr>
        <w:t>777号汇京国际</w:t>
      </w:r>
      <w:proofErr w:type="gramEnd"/>
      <w:r w:rsidRPr="005E4EC0">
        <w:rPr>
          <w:rFonts w:ascii="仿宋_GB2312" w:eastAsia="仿宋_GB2312" w:hAnsi="仿宋" w:cs="仿宋_GB2312"/>
          <w:bCs/>
          <w:color w:val="000000"/>
          <w:sz w:val="30"/>
          <w:szCs w:val="30"/>
          <w:shd w:val="clear" w:color="auto" w:fill="FFFFFF"/>
        </w:rPr>
        <w:t>广场1701</w:t>
      </w:r>
    </w:p>
    <w:p w:rsidR="00662AC5" w:rsidRPr="00587112" w:rsidRDefault="00662AC5" w:rsidP="00662AC5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lastRenderedPageBreak/>
        <w:t>三</w:t>
      </w:r>
      <w:r w:rsidRPr="00321545">
        <w:rPr>
          <w:rFonts w:ascii="仿宋_GB2312" w:eastAsia="仿宋_GB2312" w:hAnsi="仿宋" w:hint="eastAsia"/>
          <w:b/>
          <w:bCs/>
          <w:sz w:val="30"/>
          <w:szCs w:val="30"/>
        </w:rPr>
        <w:t>、培训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日程</w:t>
      </w:r>
      <w:r w:rsidRPr="00321545">
        <w:rPr>
          <w:rFonts w:ascii="仿宋_GB2312" w:eastAsia="仿宋_GB2312" w:hAnsi="仿宋" w:hint="eastAsia"/>
          <w:b/>
          <w:bCs/>
          <w:sz w:val="30"/>
          <w:szCs w:val="30"/>
        </w:rPr>
        <w:t>：</w:t>
      </w:r>
      <w:r>
        <w:rPr>
          <w:rFonts w:ascii="仿宋_GB2312" w:eastAsia="仿宋_GB2312" w:hAnsi="仿宋" w:cs="Times New Roman" w:hint="eastAsia"/>
          <w:b/>
          <w:sz w:val="30"/>
          <w:szCs w:val="30"/>
        </w:rPr>
        <w:t>（具体日程以报到材料为准）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747"/>
        <w:gridCol w:w="5159"/>
      </w:tblGrid>
      <w:tr w:rsidR="00662AC5" w:rsidRPr="004C2091" w:rsidTr="001C57C8">
        <w:trPr>
          <w:cantSplit/>
          <w:trHeight w:val="776"/>
          <w:jc w:val="center"/>
        </w:trPr>
        <w:tc>
          <w:tcPr>
            <w:tcW w:w="0" w:type="auto"/>
            <w:vAlign w:val="center"/>
          </w:tcPr>
          <w:p w:rsidR="00662AC5" w:rsidRPr="00AE7ECA" w:rsidRDefault="00662AC5" w:rsidP="001C57C8">
            <w:pPr>
              <w:tabs>
                <w:tab w:val="center" w:pos="4303"/>
              </w:tabs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AE7ECA">
              <w:rPr>
                <w:rFonts w:ascii="仿宋_GB2312" w:eastAsia="仿宋_GB2312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747" w:type="dxa"/>
            <w:vAlign w:val="center"/>
          </w:tcPr>
          <w:p w:rsidR="00662AC5" w:rsidRPr="00AE7ECA" w:rsidRDefault="00662AC5" w:rsidP="001C57C8">
            <w:pPr>
              <w:tabs>
                <w:tab w:val="center" w:pos="4303"/>
              </w:tabs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AE7ECA">
              <w:rPr>
                <w:rFonts w:ascii="仿宋_GB2312" w:eastAsia="仿宋_GB2312" w:hAnsi="仿宋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5159" w:type="dxa"/>
            <w:vAlign w:val="center"/>
          </w:tcPr>
          <w:p w:rsidR="00662AC5" w:rsidRPr="00AE7ECA" w:rsidRDefault="00662AC5" w:rsidP="001C57C8">
            <w:pPr>
              <w:tabs>
                <w:tab w:val="center" w:pos="4303"/>
              </w:tabs>
              <w:spacing w:line="360" w:lineRule="auto"/>
              <w:ind w:firstLine="28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AE7ECA">
              <w:rPr>
                <w:rFonts w:ascii="仿宋_GB2312" w:eastAsia="仿宋_GB2312" w:hAnsi="仿宋" w:hint="eastAsia"/>
                <w:b/>
                <w:sz w:val="28"/>
                <w:szCs w:val="28"/>
              </w:rPr>
              <w:t>主讲人</w:t>
            </w:r>
          </w:p>
        </w:tc>
      </w:tr>
      <w:tr w:rsidR="00662AC5" w:rsidRPr="004C2091" w:rsidTr="001C57C8">
        <w:trPr>
          <w:cantSplit/>
          <w:trHeight w:val="113"/>
          <w:jc w:val="center"/>
        </w:trPr>
        <w:tc>
          <w:tcPr>
            <w:tcW w:w="0" w:type="auto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13：00-13:30</w:t>
            </w:r>
          </w:p>
        </w:tc>
        <w:tc>
          <w:tcPr>
            <w:tcW w:w="7906" w:type="dxa"/>
            <w:gridSpan w:val="2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签到</w:t>
            </w:r>
          </w:p>
        </w:tc>
      </w:tr>
      <w:tr w:rsidR="00662AC5" w:rsidRPr="004C2091" w:rsidTr="001C57C8">
        <w:trPr>
          <w:cantSplit/>
          <w:trHeight w:val="113"/>
          <w:jc w:val="center"/>
        </w:trPr>
        <w:tc>
          <w:tcPr>
            <w:tcW w:w="0" w:type="auto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13:30-13:50</w:t>
            </w:r>
          </w:p>
        </w:tc>
        <w:tc>
          <w:tcPr>
            <w:tcW w:w="2747" w:type="dxa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开场致词</w:t>
            </w:r>
          </w:p>
        </w:tc>
        <w:tc>
          <w:tcPr>
            <w:tcW w:w="5159" w:type="dxa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潘涌海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南华期货虹桥路营业部总经理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张晓峰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中国畜牧业协会培训部主任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662AC5" w:rsidRPr="004C2091" w:rsidTr="001C57C8">
        <w:trPr>
          <w:cantSplit/>
          <w:trHeight w:val="113"/>
          <w:jc w:val="center"/>
        </w:trPr>
        <w:tc>
          <w:tcPr>
            <w:tcW w:w="0" w:type="auto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13:50-14:35</w:t>
            </w:r>
          </w:p>
        </w:tc>
        <w:tc>
          <w:tcPr>
            <w:tcW w:w="2747" w:type="dxa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2021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年山东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省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生猪养殖情况</w:t>
            </w:r>
          </w:p>
        </w:tc>
        <w:tc>
          <w:tcPr>
            <w:tcW w:w="5159" w:type="dxa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候明权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山东生猪养殖协会高级经济师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662AC5" w:rsidRPr="004C2091" w:rsidTr="001C57C8">
        <w:trPr>
          <w:cantSplit/>
          <w:trHeight w:val="113"/>
          <w:jc w:val="center"/>
        </w:trPr>
        <w:tc>
          <w:tcPr>
            <w:tcW w:w="0" w:type="auto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14:35-15:20</w:t>
            </w:r>
          </w:p>
        </w:tc>
        <w:tc>
          <w:tcPr>
            <w:tcW w:w="2747" w:type="dxa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当前饲料市场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焦点和对养殖行业的影响</w:t>
            </w:r>
          </w:p>
        </w:tc>
        <w:tc>
          <w:tcPr>
            <w:tcW w:w="5159" w:type="dxa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林国发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布瑞克农信集团研究总监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662AC5" w:rsidRPr="004C2091" w:rsidTr="001C57C8">
        <w:trPr>
          <w:cantSplit/>
          <w:trHeight w:val="113"/>
          <w:jc w:val="center"/>
        </w:trPr>
        <w:tc>
          <w:tcPr>
            <w:tcW w:w="0" w:type="auto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15:20-15:35</w:t>
            </w:r>
          </w:p>
        </w:tc>
        <w:tc>
          <w:tcPr>
            <w:tcW w:w="7906" w:type="dxa"/>
            <w:gridSpan w:val="2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茶歇</w:t>
            </w:r>
            <w:proofErr w:type="gramEnd"/>
          </w:p>
        </w:tc>
      </w:tr>
      <w:tr w:rsidR="00662AC5" w:rsidRPr="004C2091" w:rsidTr="001C57C8">
        <w:trPr>
          <w:cantSplit/>
          <w:trHeight w:val="113"/>
          <w:jc w:val="center"/>
        </w:trPr>
        <w:tc>
          <w:tcPr>
            <w:tcW w:w="0" w:type="auto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15:35-16:20</w:t>
            </w:r>
          </w:p>
        </w:tc>
        <w:tc>
          <w:tcPr>
            <w:tcW w:w="2747" w:type="dxa"/>
            <w:vAlign w:val="center"/>
          </w:tcPr>
          <w:p w:rsidR="00662AC5" w:rsidRPr="004C2091" w:rsidRDefault="00662AC5" w:rsidP="001C57C8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生猪期货介绍及风险管理应用</w:t>
            </w:r>
          </w:p>
        </w:tc>
        <w:tc>
          <w:tcPr>
            <w:tcW w:w="5159" w:type="dxa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王晨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南华期货农产品事业部总经理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662AC5" w:rsidRPr="004C2091" w:rsidTr="001C57C8">
        <w:trPr>
          <w:cantSplit/>
          <w:trHeight w:val="113"/>
          <w:jc w:val="center"/>
        </w:trPr>
        <w:tc>
          <w:tcPr>
            <w:tcW w:w="0" w:type="auto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16:20-17:05</w:t>
            </w:r>
          </w:p>
        </w:tc>
        <w:tc>
          <w:tcPr>
            <w:tcW w:w="2747" w:type="dxa"/>
            <w:vAlign w:val="center"/>
          </w:tcPr>
          <w:p w:rsidR="00662AC5" w:rsidRPr="004C2091" w:rsidRDefault="00662AC5" w:rsidP="001C57C8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场外期权在生猪期货中的应用</w:t>
            </w:r>
          </w:p>
        </w:tc>
        <w:tc>
          <w:tcPr>
            <w:tcW w:w="5159" w:type="dxa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李重梓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南华资本场外</w:t>
            </w:r>
            <w:proofErr w:type="gramStart"/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衍生品部市场</w:t>
            </w:r>
            <w:proofErr w:type="gramEnd"/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总监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662AC5" w:rsidRPr="004C2091" w:rsidTr="001C57C8">
        <w:trPr>
          <w:cantSplit/>
          <w:trHeight w:val="113"/>
          <w:jc w:val="center"/>
        </w:trPr>
        <w:tc>
          <w:tcPr>
            <w:tcW w:w="0" w:type="auto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17:05-17:20</w:t>
            </w:r>
          </w:p>
        </w:tc>
        <w:tc>
          <w:tcPr>
            <w:tcW w:w="7906" w:type="dxa"/>
            <w:gridSpan w:val="2"/>
            <w:vAlign w:val="center"/>
          </w:tcPr>
          <w:p w:rsidR="00662AC5" w:rsidRPr="004C2091" w:rsidRDefault="00662AC5" w:rsidP="001C57C8">
            <w:pPr>
              <w:tabs>
                <w:tab w:val="center" w:pos="4303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4C2091">
              <w:rPr>
                <w:rFonts w:ascii="仿宋_GB2312" w:eastAsia="仿宋_GB2312" w:hAnsi="仿宋" w:hint="eastAsia"/>
                <w:sz w:val="28"/>
                <w:szCs w:val="28"/>
              </w:rPr>
              <w:t>现场答疑</w:t>
            </w:r>
          </w:p>
        </w:tc>
      </w:tr>
    </w:tbl>
    <w:p w:rsidR="00662AC5" w:rsidRDefault="00662AC5" w:rsidP="00662AC5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>
        <w:rPr>
          <w:rFonts w:ascii="仿宋_GB2312" w:eastAsia="仿宋_GB2312" w:hAnsi="仿宋" w:cs="Times New Roman" w:hint="eastAsia"/>
          <w:b/>
          <w:sz w:val="30"/>
          <w:szCs w:val="30"/>
        </w:rPr>
        <w:t>四、参加对象</w:t>
      </w:r>
    </w:p>
    <w:p w:rsidR="00662AC5" w:rsidRPr="005F12B0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5F12B0">
        <w:rPr>
          <w:rFonts w:ascii="仿宋_GB2312" w:eastAsia="仿宋_GB2312" w:hAnsi="仿宋" w:cs="Times New Roman" w:hint="eastAsia"/>
          <w:sz w:val="30"/>
          <w:szCs w:val="30"/>
        </w:rPr>
        <w:t>各地养殖企业、屠宰和食品加工企业负责人和生猪贩运经纪人</w:t>
      </w:r>
      <w:r>
        <w:rPr>
          <w:rFonts w:ascii="仿宋_GB2312" w:eastAsia="仿宋_GB2312" w:hAnsi="仿宋" w:cs="Times New Roman" w:hint="eastAsia"/>
          <w:sz w:val="30"/>
          <w:szCs w:val="30"/>
        </w:rPr>
        <w:t>，</w:t>
      </w:r>
      <w:r w:rsidRPr="005E4EC0">
        <w:rPr>
          <w:rFonts w:ascii="仿宋_GB2312" w:eastAsia="仿宋_GB2312" w:hAnsi="仿宋" w:cs="Times New Roman" w:hint="eastAsia"/>
          <w:sz w:val="30"/>
          <w:szCs w:val="30"/>
        </w:rPr>
        <w:t>机构投资者</w:t>
      </w:r>
      <w:r>
        <w:rPr>
          <w:rFonts w:ascii="仿宋_GB2312" w:eastAsia="仿宋_GB2312" w:hAnsi="仿宋" w:cs="Times New Roman" w:hint="eastAsia"/>
          <w:sz w:val="30"/>
          <w:szCs w:val="30"/>
        </w:rPr>
        <w:t>和</w:t>
      </w:r>
      <w:r w:rsidRPr="005E4EC0">
        <w:rPr>
          <w:rFonts w:ascii="仿宋_GB2312" w:eastAsia="仿宋_GB2312" w:hAnsi="仿宋" w:cs="Times New Roman" w:hint="eastAsia"/>
          <w:sz w:val="30"/>
          <w:szCs w:val="30"/>
        </w:rPr>
        <w:t>期货业务相关人员</w:t>
      </w:r>
      <w:r>
        <w:rPr>
          <w:rFonts w:ascii="仿宋_GB2312" w:eastAsia="仿宋_GB2312" w:hAnsi="仿宋" w:cs="Times New Roman" w:hint="eastAsia"/>
          <w:sz w:val="30"/>
          <w:szCs w:val="30"/>
        </w:rPr>
        <w:t>等。</w:t>
      </w:r>
    </w:p>
    <w:p w:rsidR="00662AC5" w:rsidRPr="00321545" w:rsidRDefault="00662AC5" w:rsidP="00662AC5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>
        <w:rPr>
          <w:rFonts w:ascii="仿宋_GB2312" w:eastAsia="仿宋_GB2312" w:hAnsi="仿宋" w:cs="Times New Roman" w:hint="eastAsia"/>
          <w:b/>
          <w:sz w:val="30"/>
          <w:szCs w:val="30"/>
        </w:rPr>
        <w:t>五、报名方式</w:t>
      </w:r>
    </w:p>
    <w:p w:rsidR="00662AC5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本次培训免费，食宿交通费用自理。名额有限，</w:t>
      </w:r>
      <w:r w:rsidRPr="00812E93">
        <w:rPr>
          <w:rFonts w:ascii="仿宋_GB2312" w:eastAsia="仿宋_GB2312" w:hAnsi="仿宋" w:cs="Times New Roman" w:hint="eastAsia"/>
          <w:sz w:val="30"/>
          <w:szCs w:val="30"/>
        </w:rPr>
        <w:t>中国畜牧业协会会员单位</w:t>
      </w:r>
      <w:r>
        <w:rPr>
          <w:rFonts w:ascii="仿宋_GB2312" w:eastAsia="仿宋_GB2312" w:hAnsi="仿宋" w:cs="Times New Roman" w:hint="eastAsia"/>
          <w:sz w:val="30"/>
          <w:szCs w:val="30"/>
        </w:rPr>
        <w:t>、</w:t>
      </w:r>
      <w:r w:rsidRPr="00812E93">
        <w:rPr>
          <w:rFonts w:ascii="仿宋_GB2312" w:eastAsia="仿宋_GB2312" w:hAnsi="仿宋" w:cs="Times New Roman" w:hint="eastAsia"/>
          <w:sz w:val="30"/>
          <w:szCs w:val="30"/>
        </w:rPr>
        <w:t>规模企业优先</w:t>
      </w:r>
      <w:r>
        <w:rPr>
          <w:rFonts w:ascii="仿宋_GB2312" w:eastAsia="仿宋_GB2312" w:hAnsi="仿宋" w:cs="Times New Roman" w:hint="eastAsia"/>
          <w:sz w:val="30"/>
          <w:szCs w:val="30"/>
        </w:rPr>
        <w:t xml:space="preserve">。 </w:t>
      </w:r>
    </w:p>
    <w:p w:rsidR="00662AC5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lastRenderedPageBreak/>
        <w:t>参加培训人员填写报名回执（附件），并发邮件到chenmin@caaa.cn,经会务组确认后，完成报名。</w:t>
      </w:r>
    </w:p>
    <w:p w:rsidR="00662AC5" w:rsidRPr="00321545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培训合格人员由中国畜</w:t>
      </w:r>
      <w:r w:rsidRPr="00321545">
        <w:rPr>
          <w:rFonts w:ascii="仿宋_GB2312" w:eastAsia="仿宋_GB2312" w:hAnsi="仿宋" w:cs="Times New Roman" w:hint="eastAsia"/>
          <w:sz w:val="30"/>
          <w:szCs w:val="30"/>
        </w:rPr>
        <w:t xml:space="preserve">牧业协会颁发《畜牧行业技术培训证书》。 </w:t>
      </w:r>
    </w:p>
    <w:p w:rsidR="00662AC5" w:rsidRPr="00321545" w:rsidRDefault="00662AC5" w:rsidP="00662AC5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>
        <w:rPr>
          <w:rFonts w:ascii="仿宋_GB2312" w:eastAsia="仿宋_GB2312" w:hAnsi="仿宋" w:cs="Times New Roman" w:hint="eastAsia"/>
          <w:b/>
          <w:sz w:val="30"/>
          <w:szCs w:val="30"/>
        </w:rPr>
        <w:t>六</w:t>
      </w:r>
      <w:r w:rsidRPr="00321545">
        <w:rPr>
          <w:rFonts w:ascii="仿宋_GB2312" w:eastAsia="仿宋_GB2312" w:hAnsi="仿宋" w:cs="Times New Roman" w:hint="eastAsia"/>
          <w:b/>
          <w:sz w:val="30"/>
          <w:szCs w:val="30"/>
        </w:rPr>
        <w:t>、联系方式</w:t>
      </w:r>
    </w:p>
    <w:p w:rsidR="00662AC5" w:rsidRPr="00321545" w:rsidRDefault="00662AC5" w:rsidP="00662AC5">
      <w:pPr>
        <w:spacing w:line="360" w:lineRule="auto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:rsidR="00662AC5" w:rsidRPr="00321545" w:rsidRDefault="00662AC5" w:rsidP="00662AC5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地  址:北京市西城区西直门外大街112号阳光大厦308室</w:t>
      </w:r>
    </w:p>
    <w:p w:rsidR="00662AC5" w:rsidRPr="00321545" w:rsidRDefault="00662AC5" w:rsidP="00662AC5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编:100044                传真:010-88388300</w:t>
      </w:r>
    </w:p>
    <w:p w:rsidR="00662AC5" w:rsidRPr="00321545" w:rsidRDefault="00662AC5" w:rsidP="00662AC5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话:010-88388699转861/898</w:t>
      </w:r>
    </w:p>
    <w:p w:rsidR="00662AC5" w:rsidRPr="00321545" w:rsidRDefault="00662AC5" w:rsidP="00662AC5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箱: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</w:t>
      </w: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网址:www.caaa.cn</w:t>
      </w:r>
    </w:p>
    <w:p w:rsidR="00662AC5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陈敏 13681516281   </w:t>
      </w:r>
      <w:r>
        <w:rPr>
          <w:rFonts w:ascii="仿宋_GB2312" w:eastAsia="仿宋_GB2312" w:hAnsi="仿宋" w:cs="Times New Roman" w:hint="eastAsia"/>
          <w:bCs/>
          <w:sz w:val="30"/>
          <w:szCs w:val="30"/>
        </w:rPr>
        <w:t>张晓峰 13641213700</w:t>
      </w:r>
    </w:p>
    <w:p w:rsidR="00662AC5" w:rsidRPr="00587112" w:rsidRDefault="00662AC5" w:rsidP="00662AC5">
      <w:pPr>
        <w:spacing w:line="360" w:lineRule="auto"/>
        <w:ind w:firstLineChars="200" w:firstLine="602"/>
        <w:rPr>
          <w:rFonts w:ascii="仿宋_GB2312" w:eastAsia="仿宋_GB2312" w:hAnsi="仿宋" w:cs="仿宋_GB2312"/>
          <w:b/>
          <w:color w:val="000000"/>
          <w:sz w:val="30"/>
          <w:szCs w:val="30"/>
          <w:shd w:val="clear" w:color="auto" w:fill="FFFFFF"/>
        </w:rPr>
      </w:pPr>
      <w:r w:rsidRPr="00587112">
        <w:rPr>
          <w:rFonts w:ascii="仿宋_GB2312" w:eastAsia="仿宋_GB2312" w:hAnsi="仿宋" w:cs="仿宋_GB2312" w:hint="eastAsia"/>
          <w:b/>
          <w:color w:val="000000"/>
          <w:sz w:val="30"/>
          <w:szCs w:val="30"/>
          <w:shd w:val="clear" w:color="auto" w:fill="FFFFFF"/>
        </w:rPr>
        <w:t>南华期货股份有限公司</w:t>
      </w:r>
    </w:p>
    <w:p w:rsidR="00662AC5" w:rsidRPr="00B55B79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55B79">
        <w:rPr>
          <w:rFonts w:ascii="仿宋_GB2312" w:eastAsia="仿宋_GB2312" w:hAnsi="仿宋" w:cs="Times New Roman" w:hint="eastAsia"/>
          <w:bCs/>
          <w:sz w:val="30"/>
          <w:szCs w:val="30"/>
        </w:rPr>
        <w:t>地址：上海市徐汇区虹桥路</w:t>
      </w:r>
      <w:proofErr w:type="gramStart"/>
      <w:r w:rsidRPr="00B55B79">
        <w:rPr>
          <w:rFonts w:ascii="仿宋_GB2312" w:eastAsia="仿宋_GB2312" w:hAnsi="仿宋" w:cs="Times New Roman"/>
          <w:bCs/>
          <w:sz w:val="30"/>
          <w:szCs w:val="30"/>
        </w:rPr>
        <w:t>777号汇京国际</w:t>
      </w:r>
      <w:proofErr w:type="gramEnd"/>
      <w:r w:rsidRPr="00B55B79">
        <w:rPr>
          <w:rFonts w:ascii="仿宋_GB2312" w:eastAsia="仿宋_GB2312" w:hAnsi="仿宋" w:cs="Times New Roman"/>
          <w:bCs/>
          <w:sz w:val="30"/>
          <w:szCs w:val="30"/>
        </w:rPr>
        <w:t>广场</w:t>
      </w:r>
      <w:r>
        <w:rPr>
          <w:rFonts w:ascii="仿宋_GB2312" w:eastAsia="仿宋_GB2312" w:hAnsi="仿宋" w:cs="Times New Roman"/>
          <w:bCs/>
          <w:sz w:val="30"/>
          <w:szCs w:val="30"/>
        </w:rPr>
        <w:t>1701</w:t>
      </w:r>
    </w:p>
    <w:p w:rsidR="00662AC5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55B79">
        <w:rPr>
          <w:rFonts w:ascii="仿宋_GB2312" w:eastAsia="仿宋_GB2312" w:hAnsi="仿宋" w:cs="Times New Roman" w:hint="eastAsia"/>
          <w:bCs/>
          <w:sz w:val="30"/>
          <w:szCs w:val="30"/>
        </w:rPr>
        <w:t>联系人：姚欣</w:t>
      </w:r>
      <w:r w:rsidRPr="00B55B79">
        <w:rPr>
          <w:rFonts w:ascii="仿宋_GB2312" w:eastAsia="仿宋_GB2312" w:hAnsi="仿宋" w:cs="Times New Roman"/>
          <w:bCs/>
          <w:sz w:val="30"/>
          <w:szCs w:val="30"/>
        </w:rPr>
        <w:t xml:space="preserve">   15821265334</w:t>
      </w:r>
    </w:p>
    <w:p w:rsidR="00662AC5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</w:p>
    <w:p w:rsidR="00662AC5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</w:p>
    <w:p w:rsidR="00662AC5" w:rsidRPr="00321545" w:rsidRDefault="00662AC5" w:rsidP="00662AC5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</w:p>
    <w:p w:rsidR="00662AC5" w:rsidRPr="00D677FB" w:rsidRDefault="00662AC5" w:rsidP="00662AC5">
      <w:pPr>
        <w:spacing w:line="360" w:lineRule="auto"/>
        <w:ind w:firstLineChars="200" w:firstLine="602"/>
        <w:rPr>
          <w:rFonts w:ascii="仿宋_GB2312" w:eastAsia="仿宋_GB2312" w:hAnsi="仿宋"/>
          <w:color w:val="333333"/>
          <w:sz w:val="30"/>
          <w:szCs w:val="30"/>
          <w:shd w:val="clear" w:color="auto" w:fill="FFFFFF"/>
        </w:rPr>
      </w:pPr>
      <w:r w:rsidRPr="00321545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附件</w:t>
      </w:r>
      <w:r w:rsidRPr="00321545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:</w:t>
      </w:r>
      <w:r w:rsidRPr="00321545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B101F5">
        <w:rPr>
          <w:rFonts w:ascii="仿宋_GB2312" w:eastAsia="仿宋_GB2312" w:hAnsi="仿宋" w:hint="eastAsia"/>
          <w:color w:val="000000" w:themeColor="text1"/>
          <w:sz w:val="30"/>
          <w:szCs w:val="30"/>
        </w:rPr>
        <w:t>生猪期货与饲料原料衍生</w:t>
      </w:r>
      <w:proofErr w:type="gramStart"/>
      <w:r w:rsidRPr="00B101F5">
        <w:rPr>
          <w:rFonts w:ascii="仿宋_GB2312" w:eastAsia="仿宋_GB2312" w:hAnsi="仿宋" w:hint="eastAsia"/>
          <w:color w:val="000000" w:themeColor="text1"/>
          <w:sz w:val="30"/>
          <w:szCs w:val="30"/>
        </w:rPr>
        <w:t>品风险</w:t>
      </w:r>
      <w:proofErr w:type="gramEnd"/>
      <w:r w:rsidRPr="00B101F5">
        <w:rPr>
          <w:rFonts w:ascii="仿宋_GB2312" w:eastAsia="仿宋_GB2312" w:hAnsi="仿宋" w:hint="eastAsia"/>
          <w:color w:val="000000" w:themeColor="text1"/>
          <w:sz w:val="30"/>
          <w:szCs w:val="30"/>
        </w:rPr>
        <w:t>管理培训</w:t>
      </w: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回执</w:t>
      </w:r>
    </w:p>
    <w:p w:rsidR="00662AC5" w:rsidRPr="00321545" w:rsidRDefault="00662AC5" w:rsidP="00662AC5">
      <w:pPr>
        <w:spacing w:line="360" w:lineRule="auto"/>
        <w:ind w:right="450"/>
        <w:jc w:val="center"/>
        <w:rPr>
          <w:rFonts w:ascii="仿宋_GB2312" w:eastAsia="仿宋_GB2312" w:hAnsi="仿宋"/>
          <w:sz w:val="30"/>
          <w:szCs w:val="30"/>
        </w:rPr>
      </w:pPr>
    </w:p>
    <w:p w:rsidR="00662AC5" w:rsidRPr="00321545" w:rsidRDefault="00662AC5" w:rsidP="00662AC5">
      <w:pPr>
        <w:spacing w:line="360" w:lineRule="auto"/>
        <w:ind w:right="450" w:firstLineChars="1800" w:firstLine="5400"/>
        <w:jc w:val="right"/>
        <w:rPr>
          <w:rFonts w:ascii="仿宋_GB2312" w:eastAsia="仿宋_GB2312" w:hAnsi="仿宋"/>
          <w:sz w:val="30"/>
          <w:szCs w:val="30"/>
        </w:rPr>
      </w:pPr>
      <w:r w:rsidRPr="00321545">
        <w:rPr>
          <w:rFonts w:ascii="仿宋_GB2312" w:eastAsia="仿宋_GB2312" w:hAnsi="仿宋" w:hint="eastAsia"/>
          <w:sz w:val="30"/>
          <w:szCs w:val="30"/>
        </w:rPr>
        <w:t>中国畜牧业协会</w:t>
      </w:r>
    </w:p>
    <w:p w:rsidR="00662AC5" w:rsidRPr="00321545" w:rsidRDefault="00662AC5" w:rsidP="00662AC5">
      <w:pPr>
        <w:spacing w:line="360" w:lineRule="auto"/>
        <w:ind w:right="450"/>
        <w:jc w:val="right"/>
        <w:rPr>
          <w:rFonts w:ascii="仿宋_GB2312" w:eastAsia="仿宋_GB2312" w:hAnsi="仿宋"/>
          <w:sz w:val="30"/>
          <w:szCs w:val="30"/>
        </w:rPr>
        <w:sectPr w:rsidR="00662AC5" w:rsidRPr="00321545" w:rsidSect="00481A59">
          <w:footerReference w:type="even" r:id="rId8"/>
          <w:footerReference w:type="default" r:id="rId9"/>
          <w:footerReference w:type="first" r:id="rId10"/>
          <w:pgSz w:w="11906" w:h="16838"/>
          <w:pgMar w:top="1440" w:right="1230" w:bottom="1440" w:left="1230" w:header="851" w:footer="1191" w:gutter="0"/>
          <w:pgNumType w:start="2"/>
          <w:cols w:space="425"/>
          <w:titlePg/>
          <w:docGrid w:type="lines" w:linePitch="312"/>
        </w:sectPr>
      </w:pPr>
      <w:r w:rsidRPr="00321545">
        <w:rPr>
          <w:rFonts w:ascii="仿宋_GB2312" w:eastAsia="仿宋_GB2312" w:hAnsi="仿宋" w:hint="eastAsia"/>
          <w:sz w:val="30"/>
          <w:szCs w:val="30"/>
        </w:rPr>
        <w:t xml:space="preserve">                                    202</w:t>
      </w:r>
      <w:r>
        <w:rPr>
          <w:rFonts w:ascii="仿宋_GB2312" w:eastAsia="仿宋_GB2312" w:hAnsi="仿宋" w:hint="eastAsia"/>
          <w:sz w:val="30"/>
          <w:szCs w:val="30"/>
        </w:rPr>
        <w:t>1</w:t>
      </w:r>
      <w:r w:rsidRPr="00321545"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>5</w:t>
      </w:r>
      <w:r w:rsidRPr="00321545"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</w:rPr>
        <w:t>7</w:t>
      </w:r>
      <w:r w:rsidRPr="00321545">
        <w:rPr>
          <w:rFonts w:ascii="仿宋_GB2312" w:eastAsia="仿宋_GB2312" w:hAnsi="仿宋" w:hint="eastAsia"/>
          <w:sz w:val="30"/>
          <w:szCs w:val="30"/>
        </w:rPr>
        <w:t>日</w:t>
      </w:r>
    </w:p>
    <w:p w:rsidR="00662AC5" w:rsidRDefault="00662AC5" w:rsidP="00662AC5">
      <w:pPr>
        <w:spacing w:line="360" w:lineRule="auto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C118C3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:rsidR="00662AC5" w:rsidRPr="00090710" w:rsidRDefault="00662AC5" w:rsidP="00662AC5">
      <w:pPr>
        <w:spacing w:line="360" w:lineRule="auto"/>
        <w:jc w:val="center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B101F5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生猪期货与饲料原料衍生</w:t>
      </w:r>
      <w:proofErr w:type="gramStart"/>
      <w:r w:rsidRPr="00B101F5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品风险</w:t>
      </w:r>
      <w:proofErr w:type="gramEnd"/>
      <w:r w:rsidRPr="00B101F5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管理培训</w:t>
      </w:r>
      <w:r w:rsidRPr="005633A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回执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21"/>
        <w:gridCol w:w="255"/>
        <w:gridCol w:w="992"/>
        <w:gridCol w:w="1984"/>
        <w:gridCol w:w="1843"/>
        <w:gridCol w:w="2131"/>
      </w:tblGrid>
      <w:tr w:rsidR="00662AC5" w:rsidRPr="0060260E" w:rsidTr="001C57C8">
        <w:trPr>
          <w:trHeight w:val="699"/>
        </w:trPr>
        <w:tc>
          <w:tcPr>
            <w:tcW w:w="2093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226" w:type="dxa"/>
            <w:gridSpan w:val="6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62AC5" w:rsidRPr="0060260E" w:rsidTr="001C57C8">
        <w:trPr>
          <w:trHeight w:val="510"/>
        </w:trPr>
        <w:tc>
          <w:tcPr>
            <w:tcW w:w="2093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:rsidR="00662AC5" w:rsidRPr="0060260E" w:rsidRDefault="00662AC5" w:rsidP="001C57C8">
            <w:pPr>
              <w:snapToGrid w:val="0"/>
              <w:spacing w:line="360" w:lineRule="auto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（证书邮寄</w:t>
            </w: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用</w:t>
            </w: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252" w:type="dxa"/>
            <w:gridSpan w:val="4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2131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62AC5" w:rsidRPr="0060260E" w:rsidTr="001C57C8">
        <w:trPr>
          <w:trHeight w:val="51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31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62AC5" w:rsidRPr="0060260E" w:rsidTr="001C57C8">
        <w:trPr>
          <w:trHeight w:val="510"/>
        </w:trPr>
        <w:tc>
          <w:tcPr>
            <w:tcW w:w="2093" w:type="dxa"/>
            <w:vMerge w:val="restart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021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3231" w:type="dxa"/>
            <w:gridSpan w:val="3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身份证号</w:t>
            </w: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（证书编号用）</w:t>
            </w:r>
          </w:p>
        </w:tc>
        <w:tc>
          <w:tcPr>
            <w:tcW w:w="1843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662AC5" w:rsidRPr="0060260E" w:rsidTr="001C57C8">
        <w:trPr>
          <w:trHeight w:val="510"/>
        </w:trPr>
        <w:tc>
          <w:tcPr>
            <w:tcW w:w="2093" w:type="dxa"/>
            <w:vMerge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662AC5" w:rsidRPr="0060260E" w:rsidTr="001C57C8">
        <w:trPr>
          <w:trHeight w:val="510"/>
        </w:trPr>
        <w:tc>
          <w:tcPr>
            <w:tcW w:w="2093" w:type="dxa"/>
            <w:vMerge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AC5" w:rsidRPr="0060260E" w:rsidRDefault="00662AC5" w:rsidP="001C57C8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662AC5" w:rsidRPr="00090710" w:rsidRDefault="00662AC5" w:rsidP="00662AC5">
      <w:pPr>
        <w:spacing w:line="360" w:lineRule="auto"/>
        <w:jc w:val="left"/>
        <w:rPr>
          <w:rFonts w:ascii="仿宋" w:eastAsia="仿宋" w:hAnsi="仿宋" w:cs="仿宋_GB2312"/>
          <w:sz w:val="24"/>
          <w:szCs w:val="24"/>
        </w:rPr>
      </w:pPr>
      <w:r w:rsidRPr="00090710">
        <w:rPr>
          <w:rFonts w:ascii="仿宋" w:eastAsia="仿宋" w:hAnsi="仿宋" w:cs="仿宋_GB2312" w:hint="eastAsia"/>
          <w:sz w:val="24"/>
          <w:szCs w:val="24"/>
        </w:rPr>
        <w:t>此表自制与复印有效，培训合格人员</w:t>
      </w:r>
      <w:r>
        <w:rPr>
          <w:rFonts w:ascii="仿宋" w:eastAsia="仿宋" w:hAnsi="仿宋" w:cs="仿宋_GB2312" w:hint="eastAsia"/>
          <w:sz w:val="24"/>
          <w:szCs w:val="24"/>
        </w:rPr>
        <w:t>由中国畜牧业协会</w:t>
      </w:r>
      <w:r w:rsidRPr="00090710">
        <w:rPr>
          <w:rFonts w:ascii="仿宋" w:eastAsia="仿宋" w:hAnsi="仿宋" w:cs="仿宋_GB2312" w:hint="eastAsia"/>
          <w:sz w:val="24"/>
          <w:szCs w:val="24"/>
        </w:rPr>
        <w:t>颁发</w:t>
      </w:r>
      <w:r w:rsidRPr="00090710">
        <w:rPr>
          <w:rFonts w:ascii="仿宋" w:eastAsia="仿宋" w:hAnsi="仿宋" w:hint="eastAsia"/>
          <w:sz w:val="24"/>
          <w:szCs w:val="24"/>
        </w:rPr>
        <w:t>培训证书</w:t>
      </w:r>
      <w:r w:rsidRPr="00090710">
        <w:rPr>
          <w:rFonts w:ascii="仿宋" w:eastAsia="仿宋" w:hAnsi="仿宋" w:cs="仿宋_GB2312" w:hint="eastAsia"/>
          <w:sz w:val="24"/>
          <w:szCs w:val="24"/>
        </w:rPr>
        <w:t>，填写此表发邮件到</w:t>
      </w:r>
      <w:r>
        <w:rPr>
          <w:rFonts w:ascii="仿宋" w:eastAsia="仿宋" w:hAnsi="仿宋" w:cs="仿宋_GB2312" w:hint="eastAsia"/>
          <w:sz w:val="24"/>
          <w:szCs w:val="24"/>
        </w:rPr>
        <w:t>chenmin@caaa.</w:t>
      </w:r>
      <w:proofErr w:type="gramStart"/>
      <w:r>
        <w:rPr>
          <w:rFonts w:ascii="仿宋" w:eastAsia="仿宋" w:hAnsi="仿宋" w:cs="仿宋_GB2312" w:hint="eastAsia"/>
          <w:sz w:val="24"/>
          <w:szCs w:val="24"/>
        </w:rPr>
        <w:t>cn</w:t>
      </w:r>
      <w:proofErr w:type="gramEnd"/>
    </w:p>
    <w:p w:rsidR="00CC6EF9" w:rsidRPr="00662AC5" w:rsidRDefault="00CC6EF9"/>
    <w:sectPr w:rsidR="00CC6EF9" w:rsidRPr="00662AC5" w:rsidSect="0074799F">
      <w:footerReference w:type="first" r:id="rId11"/>
      <w:pgSz w:w="11906" w:h="16838"/>
      <w:pgMar w:top="1440" w:right="1230" w:bottom="1440" w:left="1230" w:header="851" w:footer="992" w:gutter="0"/>
      <w:pgNumType w:start="4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6F" w:rsidRDefault="00844E6F" w:rsidP="00662AC5">
      <w:r>
        <w:separator/>
      </w:r>
    </w:p>
  </w:endnote>
  <w:endnote w:type="continuationSeparator" w:id="0">
    <w:p w:rsidR="00844E6F" w:rsidRDefault="00844E6F" w:rsidP="0066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59" w:rsidRDefault="00481A59" w:rsidP="00481A59">
    <w:pPr>
      <w:pStyle w:val="a4"/>
      <w:jc w:val="center"/>
    </w:pPr>
    <w:r>
      <w:rPr>
        <w:rFonts w:hint="eastAsia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364741"/>
      <w:docPartObj>
        <w:docPartGallery w:val="Page Numbers (Bottom of Page)"/>
        <w:docPartUnique/>
      </w:docPartObj>
    </w:sdtPr>
    <w:sdtEndPr/>
    <w:sdtContent>
      <w:p w:rsidR="00481A59" w:rsidRDefault="00481A59">
        <w:pPr>
          <w:pStyle w:val="a4"/>
          <w:jc w:val="center"/>
        </w:pPr>
        <w:r>
          <w:rPr>
            <w:rFonts w:hint="eastAsia"/>
          </w:rPr>
          <w:t>2</w:t>
        </w:r>
      </w:p>
    </w:sdtContent>
  </w:sdt>
  <w:p w:rsidR="00481A59" w:rsidRDefault="00481A5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C5" w:rsidRDefault="00662AC5">
    <w:pPr>
      <w:pStyle w:val="a4"/>
      <w:jc w:val="center"/>
    </w:pPr>
  </w:p>
  <w:p w:rsidR="00662AC5" w:rsidRDefault="00662AC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9F" w:rsidRDefault="005F7911">
    <w:pPr>
      <w:pStyle w:val="a4"/>
      <w:jc w:val="center"/>
    </w:pPr>
    <w:r>
      <w:rPr>
        <w:rFonts w:hint="eastAsia"/>
      </w:rPr>
      <w:t>4</w:t>
    </w:r>
  </w:p>
  <w:p w:rsidR="0074799F" w:rsidRDefault="00844E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6F" w:rsidRDefault="00844E6F" w:rsidP="00662AC5">
      <w:r>
        <w:separator/>
      </w:r>
    </w:p>
  </w:footnote>
  <w:footnote w:type="continuationSeparator" w:id="0">
    <w:p w:rsidR="00844E6F" w:rsidRDefault="00844E6F" w:rsidP="0066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9C"/>
    <w:rsid w:val="002911C3"/>
    <w:rsid w:val="003A2F9C"/>
    <w:rsid w:val="00481A59"/>
    <w:rsid w:val="005F7911"/>
    <w:rsid w:val="00662AC5"/>
    <w:rsid w:val="00841D38"/>
    <w:rsid w:val="0084245A"/>
    <w:rsid w:val="00844E6F"/>
    <w:rsid w:val="00A1171E"/>
    <w:rsid w:val="00A24514"/>
    <w:rsid w:val="00C421F9"/>
    <w:rsid w:val="00C75FA3"/>
    <w:rsid w:val="00CC6EF9"/>
    <w:rsid w:val="00EA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AC5"/>
    <w:rPr>
      <w:sz w:val="18"/>
      <w:szCs w:val="18"/>
    </w:rPr>
  </w:style>
  <w:style w:type="paragraph" w:styleId="a5">
    <w:name w:val="List Paragraph"/>
    <w:basedOn w:val="a"/>
    <w:uiPriority w:val="34"/>
    <w:qFormat/>
    <w:rsid w:val="00662AC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424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24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AC5"/>
    <w:rPr>
      <w:sz w:val="18"/>
      <w:szCs w:val="18"/>
    </w:rPr>
  </w:style>
  <w:style w:type="paragraph" w:styleId="a5">
    <w:name w:val="List Paragraph"/>
    <w:basedOn w:val="a"/>
    <w:uiPriority w:val="34"/>
    <w:qFormat/>
    <w:rsid w:val="00662AC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424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2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C185-DB4D-46BE-BFDE-2B26C9F4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chenmin</dc:creator>
  <cp:keywords/>
  <dc:description/>
  <cp:lastModifiedBy>chenmin</cp:lastModifiedBy>
  <cp:revision>11</cp:revision>
  <cp:lastPrinted>2021-05-08T01:05:00Z</cp:lastPrinted>
  <dcterms:created xsi:type="dcterms:W3CDTF">2021-05-07T04:05:00Z</dcterms:created>
  <dcterms:modified xsi:type="dcterms:W3CDTF">2021-05-08T01:07:00Z</dcterms:modified>
</cp:coreProperties>
</file>