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B7" w:rsidRPr="00BA3AB7" w:rsidRDefault="00BA3AB7" w:rsidP="00BA3AB7">
      <w:pPr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BA3AB7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BA3AB7" w:rsidRPr="00BA3AB7" w:rsidRDefault="00BA3AB7" w:rsidP="00BA3AB7">
      <w:pPr>
        <w:spacing w:line="6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  <w:r w:rsidRPr="00BA3AB7"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  <w:t xml:space="preserve"> </w:t>
      </w:r>
      <w:r w:rsidRPr="00BA3AB7">
        <w:rPr>
          <w:rFonts w:ascii="Times New Roman" w:eastAsia="华文中宋" w:hAnsi="Times New Roman" w:cs="Times New Roman"/>
          <w:b/>
          <w:bCs/>
          <w:kern w:val="0"/>
          <w:sz w:val="36"/>
          <w:szCs w:val="44"/>
        </w:rPr>
        <w:t>2025</w:t>
      </w:r>
      <w:r w:rsidRPr="00BA3AB7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44"/>
        </w:rPr>
        <w:t>中国农业重大新技术新产品推荐材料</w:t>
      </w:r>
      <w:bookmarkStart w:id="0" w:name="OLE_LINK6"/>
      <w:bookmarkStart w:id="1" w:name="OLE_LINK5"/>
      <w:r w:rsidRPr="00BA3AB7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44"/>
        </w:rPr>
        <w:t>（式样）</w:t>
      </w:r>
      <w:bookmarkEnd w:id="0"/>
      <w:bookmarkEnd w:id="1"/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560"/>
        <w:jc w:val="center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一、成果名称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标明具体的技术、产品和装备名称，一定要具体化。成果名称不超过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30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字。标注所属专业及类别，专业包括：</w:t>
      </w:r>
      <w:r w:rsidRPr="00BA3AB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农学、土肥、园艺、植保、畜牧、兽医、水产、农业工程、农产品加工</w:t>
      </w:r>
      <w:r w:rsidRPr="00BA3AB7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BA3AB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个专业；类别包括：新技术、新产品（含新装备）</w:t>
      </w:r>
      <w:r w:rsidRPr="00BA3AB7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BA3AB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类。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【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范例：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韭蛆“覆膜增温法”绿色防控技术，植保专业，新技术】</w:t>
      </w:r>
    </w:p>
    <w:p w:rsidR="00BA3AB7" w:rsidRPr="00BA3AB7" w:rsidRDefault="00BA3AB7" w:rsidP="00BA3AB7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成果简介（</w:t>
      </w:r>
      <w:r w:rsidRPr="00BA3AB7">
        <w:rPr>
          <w:rFonts w:ascii="Times New Roman" w:eastAsia="黑体" w:hAnsi="Times New Roman" w:cs="Times New Roman"/>
          <w:sz w:val="32"/>
          <w:szCs w:val="32"/>
        </w:rPr>
        <w:t>200</w:t>
      </w:r>
      <w:r w:rsidRPr="00BA3AB7">
        <w:rPr>
          <w:rFonts w:ascii="Times New Roman" w:eastAsia="黑体" w:hAnsi="Times New Roman" w:cs="Times New Roman" w:hint="eastAsia"/>
          <w:sz w:val="32"/>
          <w:szCs w:val="32"/>
        </w:rPr>
        <w:t>字以内）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包含成果关键突破、核心技术、重要特征、重大意义等。</w:t>
      </w:r>
    </w:p>
    <w:p w:rsidR="00BA3AB7" w:rsidRPr="00BA3AB7" w:rsidRDefault="00BA3AB7" w:rsidP="00BA3AB7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成果代表性支撑材料目录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请列出成果代表性支撑材料的名称与发表（获得）时间，支撑材料时间需为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年，此处不超过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5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项。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范例：日晒高温覆膜法在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韭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蛆防治中的应用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 xml:space="preserve">[J]. 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《期刊名称》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, 2023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proofErr w:type="spellStart"/>
      <w:r w:rsidRPr="00BA3AB7">
        <w:rPr>
          <w:rFonts w:ascii="Times New Roman" w:eastAsia="仿宋_GB2312" w:hAnsi="Times New Roman" w:cs="Times New Roman"/>
          <w:sz w:val="32"/>
          <w:szCs w:val="32"/>
        </w:rPr>
        <w:t>xxxxx</w:t>
      </w:r>
      <w:proofErr w:type="spell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发明专利证书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 xml:space="preserve"> 2023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proofErr w:type="spellStart"/>
      <w:r w:rsidRPr="00BA3AB7">
        <w:rPr>
          <w:rFonts w:ascii="Times New Roman" w:eastAsia="仿宋_GB2312" w:hAnsi="Times New Roman" w:cs="Times New Roman"/>
          <w:sz w:val="32"/>
          <w:szCs w:val="32"/>
        </w:rPr>
        <w:t>xxxxx</w:t>
      </w:r>
      <w:proofErr w:type="spell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主要农作物品种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 xml:space="preserve"> 2023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BA3AB7">
        <w:rPr>
          <w:rFonts w:ascii="黑体" w:eastAsia="黑体" w:hAnsi="黑体" w:cs="黑体" w:hint="eastAsia"/>
          <w:sz w:val="32"/>
          <w:szCs w:val="32"/>
        </w:rPr>
        <w:t>四、成果详情</w:t>
      </w:r>
      <w:r w:rsidRPr="00BA3AB7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Pr="00BA3AB7">
        <w:rPr>
          <w:rFonts w:ascii="Times New Roman" w:eastAsia="黑体" w:hAnsi="Times New Roman" w:cs="Times New Roman"/>
          <w:sz w:val="32"/>
          <w:szCs w:val="32"/>
        </w:rPr>
        <w:t>2000</w:t>
      </w:r>
      <w:r w:rsidRPr="00BA3AB7">
        <w:rPr>
          <w:rFonts w:ascii="Times New Roman" w:eastAsia="黑体" w:hAnsi="Times New Roman" w:cs="Times New Roman" w:hint="eastAsia"/>
          <w:sz w:val="32"/>
          <w:szCs w:val="32"/>
        </w:rPr>
        <w:t>字以内）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楷体_GB2312" w:hAnsi="Times New Roman" w:cs="Times New Roman" w:hint="eastAsia"/>
          <w:b/>
          <w:sz w:val="32"/>
          <w:szCs w:val="32"/>
        </w:rPr>
      </w:pPr>
      <w:r w:rsidRPr="00BA3AB7">
        <w:rPr>
          <w:rFonts w:ascii="Times New Roman" w:eastAsia="楷体_GB2312" w:hAnsi="Times New Roman" w:cs="Times New Roman"/>
          <w:b/>
          <w:sz w:val="32"/>
          <w:szCs w:val="32"/>
        </w:rPr>
        <w:t>1.</w:t>
      </w:r>
      <w:r w:rsidRPr="00BA3AB7">
        <w:rPr>
          <w:rFonts w:ascii="Times New Roman" w:eastAsia="楷体_GB2312" w:hAnsi="Times New Roman" w:cs="Times New Roman" w:hint="eastAsia"/>
          <w:b/>
          <w:sz w:val="32"/>
          <w:szCs w:val="32"/>
        </w:rPr>
        <w:t>研发背景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成果提出的背景，针对生产中的问题，突破的技术难点。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【范例：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韭蛆是影响韭菜质量安全的关键因子。利用韭蛆不耐高温的特点，通过对韭蛆的生物生态学习性与灾变规律进行系统研究，研发出日晒高温覆膜法防治韭蛆技术，解决了韭蛆防治中过分依赖化学农药、绿色高效防治技术匮乏的问题</w:t>
      </w:r>
      <w:r w:rsidRPr="00BA3AB7">
        <w:rPr>
          <w:rFonts w:ascii="Times New Roman" w:eastAsia="楷体_GB2312" w:hAnsi="Times New Roman" w:cs="Times New Roman" w:hint="eastAsia"/>
          <w:b/>
          <w:sz w:val="32"/>
          <w:szCs w:val="32"/>
        </w:rPr>
        <w:t>。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BA3AB7">
        <w:rPr>
          <w:rFonts w:ascii="Times New Roman" w:eastAsia="楷体_GB2312" w:hAnsi="Times New Roman" w:cs="Times New Roman"/>
          <w:b/>
          <w:sz w:val="32"/>
          <w:szCs w:val="32"/>
        </w:rPr>
        <w:t>2.</w:t>
      </w:r>
      <w:r w:rsidRPr="00BA3AB7">
        <w:rPr>
          <w:rFonts w:ascii="Times New Roman" w:eastAsia="楷体_GB2312" w:hAnsi="Times New Roman" w:cs="Times New Roman" w:hint="eastAsia"/>
          <w:b/>
          <w:sz w:val="32"/>
          <w:szCs w:val="32"/>
        </w:rPr>
        <w:t>技术要点及参数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能够体现成果主要创新点，反映成果使用中需特别注意的环节。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【范例：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在地面铺上厚度为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10 s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12 s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的浅蓝色无滴膜，当韭蛆幼虫所在的土壤温度超过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40</w:t>
      </w:r>
      <w:r w:rsidRPr="00BA3AB7">
        <w:rPr>
          <w:rFonts w:ascii="宋体" w:eastAsia="宋体" w:hAnsi="宋体" w:cs="宋体" w:hint="eastAsia"/>
          <w:sz w:val="32"/>
          <w:szCs w:val="32"/>
        </w:rPr>
        <w:t>℃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，且持续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小时以上，能有效防治韭蛆，兼治不耐高温的其他病虫草害，促进韭菜生根。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 w:rsidRPr="00BA3AB7">
        <w:rPr>
          <w:rFonts w:ascii="Times New Roman" w:eastAsia="楷体_GB2312" w:hAnsi="Times New Roman" w:cs="Times New Roman"/>
          <w:b/>
          <w:sz w:val="32"/>
          <w:szCs w:val="32"/>
        </w:rPr>
        <w:t>3.</w:t>
      </w:r>
      <w:r w:rsidRPr="00BA3AB7">
        <w:rPr>
          <w:rFonts w:ascii="Times New Roman" w:eastAsia="楷体_GB2312" w:hAnsi="Times New Roman" w:cs="Times New Roman" w:hint="eastAsia"/>
          <w:b/>
          <w:sz w:val="32"/>
          <w:szCs w:val="32"/>
        </w:rPr>
        <w:t>示范推广及应用前景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已开展的试验示范和中小范围推广情况，应用后可达到的效果，适用范围和推广应用的前景。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【范例：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该技术采用物理杀虫方法，操作简单、绿色环保、成本低廉、防治效果好，成功攻克了韭蛆防治难题，可在我国韭菜主产区推广应用。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五、研发单位及研发人员</w:t>
      </w:r>
    </w:p>
    <w:tbl>
      <w:tblPr>
        <w:tblStyle w:val="1"/>
        <w:tblW w:w="900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32"/>
        <w:gridCol w:w="1887"/>
        <w:gridCol w:w="1684"/>
        <w:gridCol w:w="2399"/>
        <w:gridCol w:w="2101"/>
      </w:tblGrid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成果研发单位（需为法人单位、填写全称、不超过</w:t>
            </w:r>
            <w:r w:rsidRPr="00BA3AB7">
              <w:rPr>
                <w:rFonts w:ascii="Times New Roman" w:eastAsia="仿宋_GB2312" w:hAnsi="Times New Roman"/>
                <w:b/>
                <w:sz w:val="32"/>
                <w:szCs w:val="32"/>
              </w:rPr>
              <w:t>5</w:t>
            </w: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个）</w:t>
            </w: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A3AB7" w:rsidRPr="00BA3AB7" w:rsidTr="00BA3AB7">
        <w:trPr>
          <w:cantSplit/>
          <w:trHeight w:val="454"/>
        </w:trPr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lastRenderedPageBreak/>
              <w:t>成果联系人（不超过</w:t>
            </w:r>
            <w:r w:rsidRPr="00BA3AB7">
              <w:rPr>
                <w:rFonts w:ascii="Times New Roman" w:eastAsia="仿宋_GB2312" w:hAnsi="Times New Roman"/>
                <w:b/>
                <w:sz w:val="32"/>
                <w:szCs w:val="32"/>
              </w:rPr>
              <w:t>3</w:t>
            </w: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人）</w:t>
            </w: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职务职称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BA3AB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联系方式</w:t>
            </w: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A3AB7" w:rsidRPr="00BA3AB7" w:rsidTr="00BA3AB7">
        <w:trPr>
          <w:cantSplit/>
          <w:trHeight w:hRule="exact" w:val="45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A3AB7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B7" w:rsidRPr="00BA3AB7" w:rsidRDefault="00BA3AB7" w:rsidP="00BA3A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BA3AB7" w:rsidRPr="00BA3AB7" w:rsidRDefault="00BA3AB7" w:rsidP="00BA3AB7">
      <w:pPr>
        <w:adjustRightInd w:val="0"/>
        <w:snapToGrid w:val="0"/>
        <w:spacing w:beforeLines="50" w:before="156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六、成果水平证明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验收结论或第三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方成果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评价报告，署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明提供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验收或评价的单位及时间。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【评价、验收报告等提供首页、评价意见页、专家签字页等关键页即可，原则上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2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张为宜，每张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1M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以内，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格式，直接粘贴在此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A3AB7">
        <w:rPr>
          <w:rFonts w:ascii="Times New Roman" w:eastAsia="黑体" w:hAnsi="Times New Roman" w:cs="Times New Roman" w:hint="eastAsia"/>
          <w:sz w:val="32"/>
          <w:szCs w:val="32"/>
        </w:rPr>
        <w:t>七、支撑材料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（一）体现产品、技术或装备的关键图片材料。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【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张，每张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1M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以内，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格式，直接粘贴在此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（二）在科技核心期刊上发表的主要学术论文。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【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提供论文摘要页，不超过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5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张，每张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1M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以内，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格式，直接粘贴在此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中。如超过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5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篇，以列表形式列出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（三）其他证明材料。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【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能够证明成果主体内容完成时间或成果水平，不超过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3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张，每张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1M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以内，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格式，直接粘贴在此</w:t>
      </w:r>
      <w:r w:rsidRPr="00BA3AB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BA3AB7">
        <w:rPr>
          <w:rFonts w:ascii="Times New Roman" w:eastAsia="仿宋_GB2312" w:hAnsi="Times New Roman" w:cs="Times New Roman" w:hint="eastAsia"/>
          <w:b/>
          <w:sz w:val="32"/>
          <w:szCs w:val="32"/>
        </w:rPr>
        <w:t>】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农作物和林木育种类成果：应附农作物和林木品种审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定证书，非主要农作物品种要附品种审（认）定或登记（鉴定）证书；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动物育种类成果：应附畜禽新品种、配套系和畜禽遗传资源的审定或鉴定证书；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水产原、良种成果：应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附国家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或省级审定证书；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肥料类、土壤调节剂成果：应附肥料登记证或临时登记证；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农药（含生物农药）和植物生长调节剂成果：应附农药登记证或临时登记证；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兽药（含生物兽药）成果：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应附新兽药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注册证或兽药生产许可证；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7.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饲料或饲料添加剂成果：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应附新饲料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、新饲料添加剂证书或生产许可证；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8.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知识产权授权证明材料：涉及转基因产品及转基因获得的生物品种、制品，必须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附农业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农村部转基因生物安全证书；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9.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农业机械类成果：应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附国家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授权专利证书，以及省级以上人民政府颁发的农业机械推广鉴定证书；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专利成果：应</w:t>
      </w:r>
      <w:proofErr w:type="gramStart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附专利</w:t>
      </w:r>
      <w:proofErr w:type="gramEnd"/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授权证书；</w:t>
      </w:r>
    </w:p>
    <w:p w:rsidR="00BA3AB7" w:rsidRPr="00BA3AB7" w:rsidRDefault="00BA3AB7" w:rsidP="00BA3AB7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AB7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BA3AB7">
        <w:rPr>
          <w:rFonts w:ascii="Times New Roman" w:eastAsia="仿宋_GB2312" w:hAnsi="Times New Roman" w:cs="Times New Roman" w:hint="eastAsia"/>
          <w:sz w:val="32"/>
          <w:szCs w:val="32"/>
        </w:rPr>
        <w:t>软件类成果：应附计算机软件著作权登记证书。</w:t>
      </w:r>
    </w:p>
    <w:p w:rsidR="00BA3AB7" w:rsidRPr="00BA3AB7" w:rsidRDefault="00BA3AB7" w:rsidP="00BA3AB7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bookmarkStart w:id="2" w:name="_GoBack"/>
      <w:bookmarkEnd w:id="2"/>
    </w:p>
    <w:sectPr w:rsidR="00BA3AB7" w:rsidRPr="00BA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4E91"/>
    <w:multiLevelType w:val="singleLevel"/>
    <w:tmpl w:val="778E4E9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05"/>
    <w:rsid w:val="00160244"/>
    <w:rsid w:val="00576805"/>
    <w:rsid w:val="00BA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autoRedefine/>
    <w:uiPriority w:val="59"/>
    <w:qFormat/>
    <w:rsid w:val="00BA3AB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autoRedefine/>
    <w:uiPriority w:val="59"/>
    <w:qFormat/>
    <w:rsid w:val="00BA3AB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2</cp:revision>
  <dcterms:created xsi:type="dcterms:W3CDTF">2025-05-23T01:06:00Z</dcterms:created>
  <dcterms:modified xsi:type="dcterms:W3CDTF">2025-05-23T01:06:00Z</dcterms:modified>
</cp:coreProperties>
</file>